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8F" w:rsidRPr="00FD428F" w:rsidRDefault="00FD428F" w:rsidP="00FD428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2E69A2"/>
          <w:kern w:val="36"/>
          <w:sz w:val="30"/>
          <w:szCs w:val="30"/>
          <w:lang w:eastAsia="ru-RU"/>
        </w:rPr>
      </w:pPr>
      <w:proofErr w:type="spellStart"/>
      <w:r w:rsidRPr="00FD428F">
        <w:rPr>
          <w:rFonts w:ascii="Arial" w:eastAsia="Times New Roman" w:hAnsi="Arial" w:cs="Arial"/>
          <w:b/>
          <w:bCs/>
          <w:color w:val="800000"/>
          <w:kern w:val="36"/>
          <w:sz w:val="30"/>
          <w:szCs w:val="30"/>
          <w:lang w:eastAsia="ru-RU"/>
        </w:rPr>
        <w:t>Профориентационный</w:t>
      </w:r>
      <w:proofErr w:type="spellEnd"/>
      <w:r w:rsidRPr="00FD428F">
        <w:rPr>
          <w:rFonts w:ascii="Arial" w:eastAsia="Times New Roman" w:hAnsi="Arial" w:cs="Arial"/>
          <w:b/>
          <w:bCs/>
          <w:color w:val="800000"/>
          <w:kern w:val="36"/>
          <w:sz w:val="30"/>
          <w:szCs w:val="30"/>
          <w:lang w:eastAsia="ru-RU"/>
        </w:rPr>
        <w:t xml:space="preserve"> минимум</w:t>
      </w:r>
    </w:p>
    <w:p w:rsidR="00FD428F" w:rsidRPr="00FD428F" w:rsidRDefault="00FD428F" w:rsidP="00FD428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A494A"/>
          <w:sz w:val="24"/>
          <w:szCs w:val="24"/>
          <w:lang w:eastAsia="ru-RU"/>
        </w:rPr>
      </w:pP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259D0714" wp14:editId="14255F76">
            <wp:extent cx="5314950" cy="266700"/>
            <wp:effectExtent l="0" t="0" r="0" b="0"/>
            <wp:docPr id="1" name="Рисунок 1" descr="https://patra-school.arkh.eduru.ru/media/2021/06/10/1300667363/bit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tra-school.arkh.eduru.ru/media/2021/06/10/1300667363/bitma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8F" w:rsidRPr="00FD428F" w:rsidRDefault="00FD428F" w:rsidP="00FD42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A494A"/>
          <w:sz w:val="24"/>
          <w:szCs w:val="24"/>
          <w:lang w:eastAsia="ru-RU"/>
        </w:rPr>
      </w:pPr>
      <w:r w:rsidRPr="00FD428F">
        <w:rPr>
          <w:rFonts w:ascii="Arial" w:eastAsia="Times New Roman" w:hAnsi="Arial" w:cs="Arial"/>
          <w:b/>
          <w:bCs/>
          <w:color w:val="4A494A"/>
          <w:sz w:val="24"/>
          <w:szCs w:val="24"/>
          <w:lang w:eastAsia="ru-RU"/>
        </w:rPr>
        <w:t xml:space="preserve">С 1 сентября 2023 года во всех ОО с 6 класса вводится единая модель </w:t>
      </w:r>
      <w:proofErr w:type="spellStart"/>
      <w:r w:rsidRPr="00FD428F">
        <w:rPr>
          <w:rFonts w:ascii="Arial" w:eastAsia="Times New Roman" w:hAnsi="Arial" w:cs="Arial"/>
          <w:b/>
          <w:bCs/>
          <w:color w:val="4A494A"/>
          <w:sz w:val="24"/>
          <w:szCs w:val="24"/>
          <w:lang w:eastAsia="ru-RU"/>
        </w:rPr>
        <w:t>профориентационной</w:t>
      </w:r>
      <w:proofErr w:type="spellEnd"/>
      <w:r w:rsidRPr="00FD428F">
        <w:rPr>
          <w:rFonts w:ascii="Arial" w:eastAsia="Times New Roman" w:hAnsi="Arial" w:cs="Arial"/>
          <w:b/>
          <w:bCs/>
          <w:color w:val="4A494A"/>
          <w:sz w:val="24"/>
          <w:szCs w:val="24"/>
          <w:lang w:eastAsia="ru-RU"/>
        </w:rPr>
        <w:t xml:space="preserve"> деятельности.</w:t>
      </w:r>
    </w:p>
    <w:p w:rsidR="00FD428F" w:rsidRPr="00FD428F" w:rsidRDefault="00FD428F" w:rsidP="00FD42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A494A"/>
          <w:sz w:val="24"/>
          <w:szCs w:val="24"/>
          <w:lang w:eastAsia="ru-RU"/>
        </w:rPr>
      </w:pPr>
      <w:r w:rsidRPr="00FD428F">
        <w:rPr>
          <w:rFonts w:ascii="Arial" w:eastAsia="Times New Roman" w:hAnsi="Arial" w:cs="Arial"/>
          <w:b/>
          <w:bCs/>
          <w:color w:val="4A494A"/>
          <w:sz w:val="24"/>
          <w:szCs w:val="24"/>
          <w:lang w:eastAsia="ru-RU"/>
        </w:rPr>
        <w:t xml:space="preserve">Министерством просвещения разработана Единая модель </w:t>
      </w:r>
      <w:proofErr w:type="spellStart"/>
      <w:r w:rsidRPr="00FD428F">
        <w:rPr>
          <w:rFonts w:ascii="Arial" w:eastAsia="Times New Roman" w:hAnsi="Arial" w:cs="Arial"/>
          <w:b/>
          <w:bCs/>
          <w:color w:val="4A494A"/>
          <w:sz w:val="24"/>
          <w:szCs w:val="24"/>
          <w:lang w:eastAsia="ru-RU"/>
        </w:rPr>
        <w:t>профориентационной</w:t>
      </w:r>
      <w:proofErr w:type="spellEnd"/>
      <w:r w:rsidRPr="00FD428F">
        <w:rPr>
          <w:rFonts w:ascii="Arial" w:eastAsia="Times New Roman" w:hAnsi="Arial" w:cs="Arial"/>
          <w:b/>
          <w:bCs/>
          <w:color w:val="4A494A"/>
          <w:sz w:val="24"/>
          <w:szCs w:val="24"/>
          <w:lang w:eastAsia="ru-RU"/>
        </w:rPr>
        <w:t xml:space="preserve"> деятельности, в ее основу заложен </w:t>
      </w:r>
      <w:proofErr w:type="spellStart"/>
      <w:r w:rsidRPr="00FD428F">
        <w:rPr>
          <w:rFonts w:ascii="Arial" w:eastAsia="Times New Roman" w:hAnsi="Arial" w:cs="Arial"/>
          <w:b/>
          <w:bCs/>
          <w:color w:val="4A494A"/>
          <w:sz w:val="24"/>
          <w:szCs w:val="24"/>
          <w:lang w:eastAsia="ru-RU"/>
        </w:rPr>
        <w:t>профориентационный</w:t>
      </w:r>
      <w:proofErr w:type="spellEnd"/>
      <w:r w:rsidRPr="00FD428F">
        <w:rPr>
          <w:rFonts w:ascii="Arial" w:eastAsia="Times New Roman" w:hAnsi="Arial" w:cs="Arial"/>
          <w:b/>
          <w:bCs/>
          <w:color w:val="4A494A"/>
          <w:sz w:val="24"/>
          <w:szCs w:val="24"/>
          <w:lang w:eastAsia="ru-RU"/>
        </w:rPr>
        <w:t xml:space="preserve"> минимум для школьников 6–11-х классов, включая детей с ОВЗ и инвалидностью.</w:t>
      </w:r>
    </w:p>
    <w:p w:rsidR="00FD428F" w:rsidRPr="00FD428F" w:rsidRDefault="00FD428F" w:rsidP="00FD42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A494A"/>
          <w:sz w:val="24"/>
          <w:szCs w:val="24"/>
          <w:lang w:eastAsia="ru-RU"/>
        </w:rPr>
      </w:pP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78CBF97F" wp14:editId="442F6FDA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</w:t>
      </w:r>
      <w:hyperlink r:id="rId7" w:history="1">
        <w:r w:rsidRPr="00FD428F">
          <w:rPr>
            <w:rFonts w:ascii="Arial" w:eastAsia="Times New Roman" w:hAnsi="Arial" w:cs="Arial"/>
            <w:color w:val="4D779F"/>
            <w:sz w:val="24"/>
            <w:szCs w:val="24"/>
            <w:lang w:eastAsia="ru-RU"/>
          </w:rPr>
          <w:t>Министерством просвещения Российской Федерации</w:t>
        </w:r>
      </w:hyperlink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разработана Единая модель профориентации (продолжается создание единого образовательного пространства Российской школы).</w:t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6AE2DBA1" wp14:editId="1C109CBC">
            <wp:extent cx="152400" cy="152400"/>
            <wp:effectExtent l="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Что значит минимум - это "история" про "золотой стандарт образования", т. е. школа не может дать уровень ниже того, который определён </w:t>
      </w:r>
      <w:proofErr w:type="spell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Минпросвещением</w:t>
      </w:r>
      <w:proofErr w:type="spell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, больше - можно.</w:t>
      </w:r>
      <w:proofErr w:type="gram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4459ABB1" wp14:editId="3F1C8582">
            <wp:extent cx="152400" cy="152400"/>
            <wp:effectExtent l="0" t="0" r="0" b="0"/>
            <wp:docPr id="4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</w:t>
      </w:r>
      <w:hyperlink r:id="rId9" w:history="1">
        <w:r w:rsidRPr="00FD428F">
          <w:rPr>
            <w:rFonts w:ascii="Arial" w:eastAsia="Times New Roman" w:hAnsi="Arial" w:cs="Arial"/>
            <w:color w:val="4D779F"/>
            <w:sz w:val="24"/>
            <w:szCs w:val="24"/>
            <w:lang w:eastAsia="ru-RU"/>
          </w:rPr>
          <w:t>Министерство просвещения Российской Федерации</w:t>
        </w:r>
      </w:hyperlink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 разработало единую модель </w:t>
      </w:r>
      <w:proofErr w:type="spell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профориентационной</w:t>
      </w:r>
      <w:proofErr w:type="spell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 деятельности, в ее основу заложен </w:t>
      </w:r>
      <w:proofErr w:type="spell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профориентационный</w:t>
      </w:r>
      <w:proofErr w:type="spell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 минимум для школьников 6–11-х классов, включая детей с ОВЗ и инвалидностью.</w:t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443AAEC2" wp14:editId="1A4F1CD9">
            <wp:extent cx="152400" cy="152400"/>
            <wp:effectExtent l="0" t="0" r="0" b="0"/>
            <wp:docPr id="5" name="Рисунок 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Профминимум</w:t>
      </w:r>
      <w:proofErr w:type="spell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 включает три уровня на выбор образовательной организации:</w:t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68127889" wp14:editId="27A71974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базовый (не менее 40 часов в учебный год),</w:t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50885061" wp14:editId="18807FE5">
            <wp:extent cx="152400" cy="152400"/>
            <wp:effectExtent l="0" t="0" r="0" b="0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основной (не менее 60 часов в учебный год),</w:t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14B721D3" wp14:editId="509966E1">
            <wp:extent cx="152400" cy="152400"/>
            <wp:effectExtent l="0" t="0" r="0" b="0"/>
            <wp:docPr id="8" name="Рисунок 8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продвинутый (не менее 80 часов в учебный год).</w:t>
      </w:r>
    </w:p>
    <w:p w:rsidR="00FD428F" w:rsidRPr="00FD428F" w:rsidRDefault="00FD428F" w:rsidP="00FD428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4A494A"/>
          <w:sz w:val="24"/>
          <w:szCs w:val="24"/>
          <w:lang w:eastAsia="ru-RU"/>
        </w:rPr>
      </w:pP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280CADAA" wp14:editId="096F2A21">
            <wp:extent cx="152400" cy="152400"/>
            <wp:effectExtent l="0" t="0" r="0" b="0"/>
            <wp:docPr id="9" name="Рисунок 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</w:t>
      </w:r>
      <w:proofErr w:type="gram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Уровни </w:t>
      </w:r>
      <w:proofErr w:type="spell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профминимума</w:t>
      </w:r>
      <w:proofErr w:type="spell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 реализуются по семи ключевым направлениям:</w:t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08AFDF86" wp14:editId="5E1EDF9C">
            <wp:extent cx="152400" cy="152400"/>
            <wp:effectExtent l="0" t="0" r="0" b="0"/>
            <wp:docPr id="10" name="Рисунок 10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профильные предпрофессиональные классы (инженерные, медицинские, космические, IT, педагогические, предпринимательские), ориентированные на востребованные профессии на рынке труда;</w:t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61754BE5" wp14:editId="6BED836E">
            <wp:extent cx="152400" cy="152400"/>
            <wp:effectExtent l="0" t="0" r="0" b="0"/>
            <wp:docPr id="11" name="Рисунок 1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урочная деятельность,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  <w:proofErr w:type="gram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11D7FABD" wp14:editId="25BAEE2B">
            <wp:extent cx="152400" cy="152400"/>
            <wp:effectExtent l="0" t="0" r="0" b="0"/>
            <wp:docPr id="12" name="Рисунок 1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 внеурочная деятельность, предусматривающая один час в неделю на проведение </w:t>
      </w:r>
      <w:proofErr w:type="spell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профориентационных</w:t>
      </w:r>
      <w:proofErr w:type="spell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 мероприятий (онлайн-диагностика, уроки, проектная деятельность, </w:t>
      </w:r>
      <w:proofErr w:type="spell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профориентационные</w:t>
      </w:r>
      <w:proofErr w:type="spell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0F4FA25E" wp14:editId="7D14B335">
            <wp:extent cx="152400" cy="152400"/>
            <wp:effectExtent l="0" t="0" r="0" b="0"/>
            <wp:docPr id="13" name="Рисунок 1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</w:t>
      </w:r>
      <w:proofErr w:type="gram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воспитательная работа (экскурсии на производство, лекции, </w:t>
      </w:r>
      <w:proofErr w:type="spell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профориентационные</w:t>
      </w:r>
      <w:proofErr w:type="spell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профориентационной</w:t>
      </w:r>
      <w:proofErr w:type="spell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 направленности, чемпионаты по профессиональному </w:t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lastRenderedPageBreak/>
        <w:t>мастерству «</w:t>
      </w:r>
      <w:proofErr w:type="spell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Абилимпикс</w:t>
      </w:r>
      <w:proofErr w:type="spell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», «Профессионалы» и Чемпионат высоких технологий);</w:t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1E2BE7E6" wp14:editId="156C2EC2">
            <wp:extent cx="152400" cy="152400"/>
            <wp:effectExtent l="0" t="0" r="0" b="0"/>
            <wp:docPr id="14" name="Рисунок 1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дополнительное образование (посещение занятий с учетом склонностей и образовательных потребностей);</w:t>
      </w:r>
      <w:proofErr w:type="gram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724A97E6" wp14:editId="32B24113">
            <wp:extent cx="152400" cy="152400"/>
            <wp:effectExtent l="0" t="0" r="0" b="0"/>
            <wp:docPr id="15" name="Рисунок 1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</w:t>
      </w:r>
      <w:proofErr w:type="spell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профобучение</w:t>
      </w:r>
      <w:proofErr w:type="spell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 (</w:t>
      </w:r>
      <w:proofErr w:type="gramStart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обучение по программам</w:t>
      </w:r>
      <w:proofErr w:type="gramEnd"/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 xml:space="preserve"> подготовки по профессиям рабочих и служащих по образцу существовавших учебно-производственных комбинатов);</w:t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br/>
      </w:r>
      <w:r w:rsidRPr="00FD428F">
        <w:rPr>
          <w:rFonts w:ascii="Arial" w:eastAsia="Times New Roman" w:hAnsi="Arial" w:cs="Arial"/>
          <w:noProof/>
          <w:color w:val="4A494A"/>
          <w:sz w:val="24"/>
          <w:szCs w:val="24"/>
          <w:lang w:eastAsia="ru-RU"/>
        </w:rPr>
        <w:drawing>
          <wp:inline distT="0" distB="0" distL="0" distR="0" wp14:anchorId="7B774CBE" wp14:editId="2AC802DF">
            <wp:extent cx="152400" cy="152400"/>
            <wp:effectExtent l="0" t="0" r="0" b="0"/>
            <wp:docPr id="16" name="Рисунок 1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⃣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8F">
        <w:rPr>
          <w:rFonts w:ascii="Arial" w:eastAsia="Times New Roman" w:hAnsi="Arial" w:cs="Arial"/>
          <w:color w:val="4A494A"/>
          <w:sz w:val="24"/>
          <w:szCs w:val="24"/>
          <w:lang w:eastAsia="ru-RU"/>
        </w:rPr>
        <w:t> взаимодействие с родителями или законными представителями (проведение не менее двух собраний с представителями разных профессий).</w:t>
      </w:r>
    </w:p>
    <w:p w:rsidR="00286825" w:rsidRDefault="00286825">
      <w:pPr>
        <w:rPr>
          <w:lang w:val="en-US"/>
        </w:rPr>
      </w:pPr>
    </w:p>
    <w:p w:rsidR="00FD428F" w:rsidRDefault="00FD428F">
      <w:pPr>
        <w:rPr>
          <w:lang w:val="en-US"/>
        </w:rPr>
      </w:pPr>
    </w:p>
    <w:p w:rsidR="00FD428F" w:rsidRPr="00FD428F" w:rsidRDefault="00FD428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EE25511" wp14:editId="04ED8002">
            <wp:extent cx="5940425" cy="3343230"/>
            <wp:effectExtent l="0" t="0" r="3175" b="0"/>
            <wp:docPr id="17" name="Рисунок 17" descr="https://patra-school.arkh.eduru.ru/media/2023/08/09/1282519115/SLAJD-ITOGOVY_J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tra-school.arkh.eduru.ru/media/2023/08/09/1282519115/SLAJD-ITOGOVY_J_page-0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28F" w:rsidRPr="00FD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08"/>
    <w:rsid w:val="00286825"/>
    <w:rsid w:val="00B67208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inprosvet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minprosvet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2023-08-14T04:55:00Z</dcterms:created>
  <dcterms:modified xsi:type="dcterms:W3CDTF">2023-08-14T04:56:00Z</dcterms:modified>
</cp:coreProperties>
</file>