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29" w:rsidRPr="00322D29" w:rsidRDefault="00322D29" w:rsidP="00322D29">
      <w:pPr>
        <w:spacing w:after="175" w:line="209" w:lineRule="atLeast"/>
        <w:outlineLvl w:val="0"/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</w:pPr>
      <w:r w:rsidRPr="00322D29">
        <w:rPr>
          <w:rFonts w:ascii="Arial" w:eastAsia="Times New Roman" w:hAnsi="Arial" w:cs="Arial"/>
          <w:color w:val="007AD0"/>
          <w:kern w:val="36"/>
          <w:sz w:val="21"/>
          <w:szCs w:val="21"/>
          <w:lang w:eastAsia="ru-RU"/>
        </w:rPr>
        <w:t>ПРОФЕССИОНАЛЬНЫЙ СТАНДАРТ</w:t>
      </w:r>
    </w:p>
    <w:p w:rsidR="00322D29" w:rsidRPr="00322D29" w:rsidRDefault="00322D29" w:rsidP="00322D29">
      <w:pPr>
        <w:spacing w:after="168" w:line="240" w:lineRule="auto"/>
        <w:ind w:left="851" w:right="850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C73A7"/>
          <w:sz w:val="28"/>
          <w:lang w:eastAsia="ru-RU"/>
        </w:rPr>
        <w:t xml:space="preserve">Внедрение </w:t>
      </w:r>
      <w:proofErr w:type="spellStart"/>
      <w:r w:rsidRPr="00322D29">
        <w:rPr>
          <w:rFonts w:ascii="Times New Roman" w:eastAsia="Times New Roman" w:hAnsi="Times New Roman" w:cs="Times New Roman"/>
          <w:b/>
          <w:bCs/>
          <w:color w:val="0C73A7"/>
          <w:sz w:val="28"/>
          <w:lang w:eastAsia="ru-RU"/>
        </w:rPr>
        <w:t>профстандартов</w:t>
      </w:r>
      <w:proofErr w:type="spellEnd"/>
      <w:r w:rsidRPr="00322D29">
        <w:rPr>
          <w:rFonts w:ascii="Times New Roman" w:eastAsia="Times New Roman" w:hAnsi="Times New Roman" w:cs="Times New Roman"/>
          <w:b/>
          <w:bCs/>
          <w:color w:val="0C73A7"/>
          <w:sz w:val="28"/>
          <w:lang w:eastAsia="ru-RU"/>
        </w:rPr>
        <w:t xml:space="preserve"> в ДОУ</w:t>
      </w:r>
    </w:p>
    <w:p w:rsidR="00322D29" w:rsidRPr="00322D29" w:rsidRDefault="00322D29" w:rsidP="00322D29">
      <w:pPr>
        <w:spacing w:before="240" w:after="240" w:line="240" w:lineRule="auto"/>
        <w:ind w:left="851" w:right="850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C73A7"/>
          <w:sz w:val="28"/>
          <w:lang w:eastAsia="ru-RU"/>
        </w:rPr>
        <w:t>Профессиональный стандарт педагога-воспитателя дошкольного образования</w:t>
      </w:r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</w:t>
      </w: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Новый стандарт дошкольного образования предъявляет требования к содержанию образования, к его результатам, а также к условиям реализации образовательного процесса. В плане внедрения ФГОС ДО особое внимание уделено кадровому обеспечению и подготовке педагогов дошкольного образования. Основные требования к педагогам определены в тексте Профессионального стандарта педагога. Главной фигурой, способной осуществить поставленные образовательные и воспитательные задачи, становится педагог. И не просто педагог, а специалист, отличающийся высоким уровнем профессиональной компетентности.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Основная функция современного детского сада любого вида – целенаправленная социализация личности ребенка, то есть введение его в мир природных и человеческих связей и отношений, передача ему лучших образцов, способов и норм поведения во всех сферах жизнедеятельности. От того, насколько грамотно будет выстроен образовательный процесс в дошкольном учреждении, зависит качественный уровень воспитания и развития ребенка-дошкольника.</w:t>
      </w:r>
    </w:p>
    <w:p w:rsidR="00322D29" w:rsidRPr="00322D29" w:rsidRDefault="00322D29" w:rsidP="00322D29">
      <w:pPr>
        <w:spacing w:before="360" w:after="9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Какая ответственность предусмотрена за неприменение </w:t>
      </w:r>
      <w:proofErr w:type="spellStart"/>
      <w:r w:rsidRPr="00322D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профстандартов</w:t>
      </w:r>
      <w:proofErr w:type="spellEnd"/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Если должность работника содержится и в квалификационном справочнике, и в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профстандарте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, то образовательная организация вправе продолжить применять квалификационный справочник (ч. 1 ст. 46 , ч. 1, 2 ст. 52 Закона от 29 декабря 2012 г. № 273-ФЗ, вопрос № 5 Информации по вопросам применения профессиональных стандартов, направленной           письмом  </w:t>
      </w:r>
      <w:hyperlink r:id="rId4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Письмо 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МинтрудаРоссии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от 4 апреля 2016 г. № 14-0/10/13-2253 ).</w:t>
        </w:r>
      </w:hyperlink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В этом случае к ответственности организацию за неприменение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профстандартов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не привлекут.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Отсутствие плана по организации применения профессиональных стандартов в государственной или муниципальной образовательной организации может быть признано нарушением трудового законодательства. Это связано с тем, что наличие такого плана предусмотрено постановлением Правительства РФ. За нарушение трудового законодательства статьей 5.27 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КоАП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РФ предусмотрена административная ответственность.</w:t>
      </w:r>
    </w:p>
    <w:p w:rsidR="00322D29" w:rsidRPr="00322D29" w:rsidRDefault="00322D29" w:rsidP="00322D29">
      <w:pPr>
        <w:spacing w:before="240" w:after="240" w:line="240" w:lineRule="auto"/>
        <w:ind w:left="851" w:right="850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38"/>
          <w:lang w:eastAsia="ru-RU"/>
        </w:rPr>
        <w:t>Как применять профессиональные стандарты</w:t>
      </w:r>
    </w:p>
    <w:p w:rsidR="00322D29" w:rsidRPr="00322D29" w:rsidRDefault="00322D29" w:rsidP="00322D29">
      <w:pPr>
        <w:spacing w:before="300" w:after="150" w:line="240" w:lineRule="auto"/>
        <w:ind w:left="851" w:right="850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23"/>
          <w:lang w:eastAsia="ru-RU"/>
        </w:rPr>
        <w:t>Что такое профессиональный стандарт и для чего он нужен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lastRenderedPageBreak/>
        <w:t>Профессиональный стандарт 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 ТК РФ).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 xml:space="preserve">Под применением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профстандартов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 при приеме на работу для определения квалификации работника;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  при аттестации для определения соответствия занимаемой должности;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 при направлении работников на дополнительное профессиональное образование для определения вида обучения;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 при разработке должностных инструкций для определения трудовых действий и требований к знаниям, умениям;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 при разработке штатного расписания для определения наименования должностей.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Профстандарты</w:t>
      </w:r>
      <w:proofErr w:type="spellEnd"/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нужны: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322D29" w:rsidRPr="00322D29" w:rsidRDefault="00322D29" w:rsidP="00322D29">
      <w:pPr>
        <w:spacing w:after="18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Совет:</w:t>
      </w: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 Для руководителей организаций, их заместителей, руководителей структурных подразделений, педагогов школ и детских садов предусмотрены льготы и ограничения (ст. 331 , 351.1 ТК РФ, ст. 47 , 51 , 52 Закона от 29 декабря 2012 г. № 273-ФЗ). 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Во-вторых, при разработке образовательных программ: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 профессионального образования (ч. 7 ст. 11 Закона от 29 декабря 2012 г. № 273-ФЗ);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 профессионального обучения (ч. 8 ст. 73 Закона от 29 декабря 2012 г. № 273-ФЗ);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–  дополнительного профессионального образования (ч. 9 ст. 76 Закона от 29 декабря 2012 г. № 273-ФЗ).</w:t>
      </w:r>
    </w:p>
    <w:p w:rsidR="00322D29" w:rsidRPr="00322D29" w:rsidRDefault="00322D29" w:rsidP="00322D29">
      <w:pPr>
        <w:spacing w:after="18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Совет:</w:t>
      </w: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 xml:space="preserve"> Если направляете работника на переподготовку или повышение квалификации, проверьте, чтобы программы учитывали действующие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профстандарты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.</w:t>
      </w:r>
    </w:p>
    <w:p w:rsidR="00322D29" w:rsidRPr="00322D29" w:rsidRDefault="00322D29" w:rsidP="00322D29">
      <w:pPr>
        <w:spacing w:before="360" w:after="9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 xml:space="preserve">Обязательно ли применять </w:t>
      </w:r>
      <w:proofErr w:type="spellStart"/>
      <w:r w:rsidRPr="00322D29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профстандарты</w:t>
      </w:r>
      <w:proofErr w:type="spellEnd"/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Все работники образовательной организации должны соответствовать требованиям квалификационных справочников или профессиональных стандартов (ч. 1 ст. 46 , ч. 1, 2 ст. 52 Закона от 29 декабря 2012 г. № 273-ФЗ).</w:t>
      </w:r>
    </w:p>
    <w:p w:rsidR="00322D29" w:rsidRPr="00322D29" w:rsidRDefault="00322D29" w:rsidP="00322D29">
      <w:pPr>
        <w:spacing w:after="18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Ситуация:</w:t>
      </w: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shd w:val="clear" w:color="auto" w:fill="F4F7F8"/>
          <w:lang w:eastAsia="ru-RU"/>
        </w:rPr>
        <w:t xml:space="preserve"> обязан ли работодатель уволить работника, если он не соответствует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shd w:val="clear" w:color="auto" w:fill="F4F7F8"/>
          <w:lang w:eastAsia="ru-RU"/>
        </w:rPr>
        <w:t>профстандарту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shd w:val="clear" w:color="auto" w:fill="F4F7F8"/>
          <w:lang w:eastAsia="ru-RU"/>
        </w:rPr>
        <w:t>? 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Обязательность применения именно профессионального стандарта в образовательных организациях не установлена, то есть вы можете выбирать, что использовать.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Этот вывод подтверждает </w:t>
      </w:r>
      <w:hyperlink r:id="rId5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Письмо Минтруда России от 4 апреля 2016 г. №14-0/10/13-2253 .</w:t>
        </w:r>
      </w:hyperlink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                                                                                          </w:t>
      </w:r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Если квалификационный справочник и профессиональный стандарт по аналогичным должностям содержат различные требования к квалификации, то работодатель самостоятельно определяет какой нормативный правовой акт он будет использовать.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lastRenderedPageBreak/>
        <w:t>Внимание:</w:t>
      </w: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shd w:val="clear" w:color="auto" w:fill="F9F7EE"/>
          <w:lang w:eastAsia="ru-RU"/>
        </w:rPr>
        <w:t> обязательность применения требований профессиональных стандартов не зависит от формы собственности организации или статуса работодателя (вопрос № 7 Информации по вопросам применения профессиональных стандартов, направленной  письмом </w:t>
      </w:r>
      <w:hyperlink r:id="rId6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Письмо Минтруда России от 4 апреля 2016 г. №14-0/10/13-2253 .</w:t>
        </w:r>
      </w:hyperlink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  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                          </w:t>
      </w:r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 xml:space="preserve">Несмотря на то что сейчас работодателю предоставляется выбор между квалификационным справочником и профессиональным стандартом, в перспективе квалификационные справочники будут отменены (вопрос № 4 информации Минтруда России по вопросам применения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профстандартов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, направленной письмом </w:t>
      </w:r>
      <w:hyperlink r:id="rId7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Письмо Минтруда России от 4 апреля 2016 г. №14-0/10/13-2253 .</w:t>
        </w:r>
      </w:hyperlink>
    </w:p>
    <w:p w:rsidR="00322D29" w:rsidRPr="00322D29" w:rsidRDefault="00322D29" w:rsidP="00322D29">
      <w:pPr>
        <w:spacing w:after="12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 xml:space="preserve">Для реализации идеи внедрения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>профстандарта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3"/>
          <w:szCs w:val="23"/>
          <w:bdr w:val="none" w:sz="0" w:space="0" w:color="auto" w:frame="1"/>
          <w:lang w:eastAsia="ru-RU"/>
        </w:rPr>
        <w:t xml:space="preserve"> в государственных и муниципальных учреждениях Правительство РФ установило сроки для их внедрения.</w:t>
      </w:r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br/>
      </w:r>
    </w:p>
    <w:p w:rsidR="00322D29" w:rsidRPr="00322D29" w:rsidRDefault="00322D29" w:rsidP="00322D29">
      <w:pPr>
        <w:spacing w:before="240" w:after="240" w:line="240" w:lineRule="auto"/>
        <w:ind w:left="851" w:right="850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Связь между требованиями к воспитателю ДОУ по ФГОС и </w:t>
      </w:r>
      <w:proofErr w:type="spellStart"/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профстандарту</w:t>
      </w:r>
      <w:proofErr w:type="spellEnd"/>
    </w:p>
    <w:p w:rsidR="00322D29" w:rsidRPr="00322D29" w:rsidRDefault="00322D29" w:rsidP="00322D29">
      <w:pPr>
        <w:spacing w:after="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–  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 лет, когда наступает время школ, гимназий и т. д.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педработникам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ДОУ (воспитателям, педагогам и т. д.) сейчас применяется 2 вида стандартов:</w:t>
      </w:r>
    </w:p>
    <w:p w:rsidR="00322D29" w:rsidRPr="00322D29" w:rsidRDefault="00322D29" w:rsidP="00322D29">
      <w:pPr>
        <w:spacing w:after="10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ФГОС, утвержденный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РФ;</w:t>
      </w:r>
    </w:p>
    <w:p w:rsidR="00322D29" w:rsidRPr="00322D29" w:rsidRDefault="00322D29" w:rsidP="00322D29">
      <w:pPr>
        <w:spacing w:after="10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утвержденный Минтруда РФ.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Оба стандарта разработаны в 2013 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 Кроме того, ФГОС уже действует, а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отношении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педработников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вступает в силу лишь с 2017 года.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Тем не менее и ФГОС, и профессиональный стандарт воспитателя ДОУ между собой тесно связаны. Дело в том, что с 2017 года, когда вступят в силу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профстандарты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педагогических работников, ФГОС должны будут разрабатываться с учетом заложенных в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профстандарте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требований.</w:t>
      </w:r>
    </w:p>
    <w:p w:rsidR="00322D29" w:rsidRPr="00322D29" w:rsidRDefault="00322D29" w:rsidP="00322D29">
      <w:pPr>
        <w:spacing w:before="336" w:after="24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Что включает в себя </w:t>
      </w:r>
      <w:proofErr w:type="spellStart"/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</w:t>
      </w:r>
      <w:proofErr w:type="spellEnd"/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воспитателя детского сада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воспитателя в детском саду и других ДОУ включает в себя следующие структурные части:</w:t>
      </w:r>
    </w:p>
    <w:p w:rsidR="00322D29" w:rsidRPr="00322D29" w:rsidRDefault="00322D29" w:rsidP="00322D29">
      <w:pPr>
        <w:spacing w:after="10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1.Общие сведения о стандарте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В этом разделе определяется, к какому конкретно виду деятельности относится 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педагога дошкольного образования, какие коды ОКЗ и ОКВЭД должны применяться при учете этого вида деятельности. Здесь нужно отметить, что по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профстандарту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понятие «педагог» шире, чем «воспитатель». К педагогам относятся как воспитатели, так и учителя в школе и других учреждениях общего образования. Разделение происходит на уровне кодов ОКЗ (к воспитателям относится код 3320) и ОКВЭД (80.10.1 — услуги дошкольного образования).</w:t>
      </w:r>
    </w:p>
    <w:p w:rsidR="00322D29" w:rsidRPr="00322D29" w:rsidRDefault="00322D29" w:rsidP="00322D29">
      <w:pPr>
        <w:spacing w:after="10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2.Функциональная карта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Здесь описываются функции, которые в своей работе должен осуществлять педагог. Применительно к профессиональному стандарту воспитателя ДОУ главными по отношению к детям будут функции: обучения, воспитания, развития.</w:t>
      </w:r>
    </w:p>
    <w:p w:rsidR="00322D29" w:rsidRPr="00322D29" w:rsidRDefault="00322D29" w:rsidP="00322D29">
      <w:pPr>
        <w:spacing w:after="100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3.Характеристика функций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этой части 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профстандарта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педагога ДОУ функции, упомянутые в функциональной карте, подробно характеризуются. Кроме того, здесь устанавливаются официальные названия для должностей («воспитатель», «педагог» и т. д.), требования к образованию и другие квалификационные условия. Надо отметить, что здесь используются и данные единого квалификационного справочника, утвержденного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Минздравсоцразвития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РФ в 2010 году.</w:t>
      </w:r>
    </w:p>
    <w:p w:rsidR="00322D29" w:rsidRPr="00322D29" w:rsidRDefault="00322D29" w:rsidP="00322D29">
      <w:pPr>
        <w:spacing w:after="100" w:line="240" w:lineRule="auto"/>
        <w:ind w:left="360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</w:t>
      </w:r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4.Сведения о том, какие организации разработали </w:t>
      </w:r>
      <w:proofErr w:type="spellStart"/>
      <w:r w:rsidRPr="00322D2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профстандарт</w:t>
      </w:r>
      <w:proofErr w:type="spellEnd"/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Упоминание разработчиков 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профстандарта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выносятся в отдельный раздел. Так, профессиональный стандарт педагога ДОУ по ФГОС был разработан МГППУ при участии ЦО № 109 г. Москвы.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Профстандарт</w:t>
      </w:r>
      <w:proofErr w:type="spellEnd"/>
      <w:r w:rsidRPr="00322D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педагога ДОУ, подлежащий введению в 2019 году, должен стать новым и эффективным способом упорядочения работы детских садов и других дошкольных учреждений, повысить эффективность воспитательной и образовательной деятельности в них, а также добиться большей компетентности от работников.</w:t>
      </w:r>
    </w:p>
    <w:p w:rsidR="00322D29" w:rsidRPr="00322D29" w:rsidRDefault="00322D29" w:rsidP="00322D29">
      <w:pPr>
        <w:spacing w:after="312" w:line="240" w:lineRule="auto"/>
        <w:ind w:left="851" w:right="85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ПРОФЕССИОНАЛЬНЫЙ СТАНДАРТ (выдержка).</w:t>
      </w:r>
    </w:p>
    <w:p w:rsidR="00322D29" w:rsidRPr="00322D29" w:rsidRDefault="00322D29" w:rsidP="00322D29">
      <w:pPr>
        <w:spacing w:after="312" w:line="240" w:lineRule="auto"/>
        <w:ind w:left="851" w:right="85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b/>
          <w:bCs/>
          <w:color w:val="0070C0"/>
          <w:sz w:val="12"/>
          <w:lang w:eastAsia="ru-RU"/>
        </w:rPr>
        <w:t>3.2.1. Трудовая функция</w:t>
      </w:r>
    </w:p>
    <w:tbl>
      <w:tblPr>
        <w:tblW w:w="5481" w:type="dxa"/>
        <w:tblCellMar>
          <w:left w:w="0" w:type="dxa"/>
          <w:right w:w="0" w:type="dxa"/>
        </w:tblCellMar>
        <w:tblLook w:val="04A0"/>
      </w:tblPr>
      <w:tblGrid>
        <w:gridCol w:w="2615"/>
        <w:gridCol w:w="2866"/>
      </w:tblGrid>
      <w:tr w:rsidR="00322D29" w:rsidRPr="00322D29" w:rsidTr="00322D29">
        <w:tc>
          <w:tcPr>
            <w:tcW w:w="2355" w:type="dxa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lang w:eastAsia="ru-RU"/>
              </w:rPr>
              <w:t>Трудовые действия</w:t>
            </w: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</w:t>
            </w: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lastRenderedPageBreak/>
              <w:t>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Создание позитивного психологического климата в группе и условий для </w:t>
            </w: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lastRenderedPageBreak/>
              <w:t>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Активное использование </w:t>
            </w:r>
            <w:proofErr w:type="spellStart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недирективной</w:t>
            </w:r>
            <w:proofErr w:type="spellEnd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322D29" w:rsidRPr="00322D29" w:rsidTr="00322D29">
        <w:tc>
          <w:tcPr>
            <w:tcW w:w="2355" w:type="dxa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lang w:eastAsia="ru-RU"/>
              </w:rPr>
              <w:t>Необходимые умения</w:t>
            </w: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Применять методы физического, познавательного и личностного развития детей раннего и дошкольного возраста в соответствии с </w:t>
            </w: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lastRenderedPageBreak/>
              <w:t>образовательной программой организации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сформированности</w:t>
            </w:r>
            <w:proofErr w:type="spellEnd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Владеть </w:t>
            </w:r>
            <w:proofErr w:type="spellStart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ИКТ-компетентностями</w:t>
            </w:r>
            <w:proofErr w:type="spellEnd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322D29" w:rsidRPr="00322D29" w:rsidTr="00322D29">
        <w:tc>
          <w:tcPr>
            <w:tcW w:w="2355" w:type="dxa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lang w:eastAsia="ru-RU"/>
              </w:rPr>
              <w:t>Необходимые знания</w:t>
            </w: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деятельностный</w:t>
            </w:r>
            <w:proofErr w:type="spellEnd"/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 xml:space="preserve">Основы теории </w:t>
            </w: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lastRenderedPageBreak/>
              <w:t>физического, познавательного и личностного развития детей раннего и дошкольного возраста</w:t>
            </w:r>
          </w:p>
        </w:tc>
      </w:tr>
      <w:tr w:rsidR="00322D29" w:rsidRPr="00322D29" w:rsidTr="00322D29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p w:rsidR="00322D29" w:rsidRPr="00322D29" w:rsidRDefault="00322D29" w:rsidP="00322D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322D29" w:rsidRPr="00322D29" w:rsidTr="00322D29">
        <w:tc>
          <w:tcPr>
            <w:tcW w:w="235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lang w:eastAsia="ru-RU"/>
              </w:rPr>
              <w:t>Другие характеристики</w:t>
            </w:r>
          </w:p>
        </w:tc>
        <w:tc>
          <w:tcPr>
            <w:tcW w:w="729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D29" w:rsidRPr="00322D29" w:rsidRDefault="00322D29" w:rsidP="00322D29">
            <w:pPr>
              <w:spacing w:after="254" w:line="240" w:lineRule="auto"/>
              <w:ind w:left="851" w:right="850"/>
              <w:jc w:val="both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322D29">
              <w:rPr>
                <w:rFonts w:ascii="Times New Roman" w:eastAsia="Times New Roman" w:hAnsi="Times New Roman" w:cs="Times New Roman"/>
                <w:color w:val="555555"/>
                <w:sz w:val="12"/>
                <w:szCs w:val="12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22D29" w:rsidRPr="00322D29" w:rsidRDefault="00322D29" w:rsidP="00322D29">
      <w:pPr>
        <w:spacing w:after="175" w:line="209" w:lineRule="atLeast"/>
        <w:outlineLvl w:val="1"/>
        <w:rPr>
          <w:rFonts w:ascii="Arial" w:eastAsia="Times New Roman" w:hAnsi="Arial" w:cs="Arial"/>
          <w:color w:val="007AD0"/>
          <w:sz w:val="21"/>
          <w:szCs w:val="21"/>
          <w:lang w:eastAsia="ru-RU"/>
        </w:rPr>
      </w:pPr>
      <w:r w:rsidRPr="00322D29">
        <w:rPr>
          <w:rFonts w:ascii="Arial" w:eastAsia="Times New Roman" w:hAnsi="Arial" w:cs="Arial"/>
          <w:color w:val="007AD0"/>
          <w:sz w:val="21"/>
          <w:szCs w:val="21"/>
          <w:lang w:eastAsia="ru-RU"/>
        </w:rPr>
        <w:t xml:space="preserve">НОРМАТИВНО - ПРАВОВАЯ </w:t>
      </w:r>
      <w:proofErr w:type="spellStart"/>
      <w:r w:rsidRPr="00322D29">
        <w:rPr>
          <w:rFonts w:ascii="Arial" w:eastAsia="Times New Roman" w:hAnsi="Arial" w:cs="Arial"/>
          <w:color w:val="007AD0"/>
          <w:sz w:val="21"/>
          <w:szCs w:val="21"/>
          <w:lang w:eastAsia="ru-RU"/>
        </w:rPr>
        <w:t>БАЗА,регламентирующая</w:t>
      </w:r>
      <w:proofErr w:type="spellEnd"/>
      <w:r w:rsidRPr="00322D29">
        <w:rPr>
          <w:rFonts w:ascii="Arial" w:eastAsia="Times New Roman" w:hAnsi="Arial" w:cs="Arial"/>
          <w:color w:val="007AD0"/>
          <w:sz w:val="21"/>
          <w:szCs w:val="21"/>
          <w:lang w:eastAsia="ru-RU"/>
        </w:rPr>
        <w:t xml:space="preserve"> применение профессиональных стандартов</w:t>
      </w:r>
    </w:p>
    <w:p w:rsidR="00322D29" w:rsidRPr="00322D29" w:rsidRDefault="00322D29" w:rsidP="00322D29">
      <w:pPr>
        <w:spacing w:after="87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01.10.2019</w:t>
      </w:r>
    </w:p>
    <w:p w:rsidR="00322D29" w:rsidRPr="00322D29" w:rsidRDefault="00322D29" w:rsidP="00322D29">
      <w:pPr>
        <w:spacing w:after="0" w:line="192" w:lineRule="atLeast"/>
        <w:ind w:right="56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8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ПРОФЕССИОНАЛЬНЫЙ СТАНДАРТ. Педагог педагогическая деятельность в дошкольном, начальном общем, основном общем, среднем общем образовании), (воспитатель, учитель).</w:t>
        </w:r>
      </w:hyperlink>
    </w:p>
    <w:p w:rsidR="00322D29" w:rsidRPr="00322D29" w:rsidRDefault="00322D29" w:rsidP="00322D29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9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ПРОФЕССИОНАЛЬНЫЙ СТАНДАРТ. Инструктор-методист</w:t>
        </w:r>
      </w:hyperlink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</w:p>
    <w:p w:rsidR="00322D29" w:rsidRPr="00322D29" w:rsidRDefault="00322D29" w:rsidP="00322D29">
      <w:pPr>
        <w:spacing w:after="0" w:line="192" w:lineRule="atLeast"/>
        <w:jc w:val="both"/>
        <w:rPr>
          <w:rFonts w:ascii="yandex-sans" w:eastAsia="Times New Roman" w:hAnsi="yandex-sans" w:cs="Tahoma"/>
          <w:color w:val="555555"/>
          <w:sz w:val="12"/>
          <w:szCs w:val="12"/>
          <w:lang w:eastAsia="ru-RU"/>
        </w:rPr>
      </w:pPr>
      <w:hyperlink r:id="rId10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ПРОФЕССИОНАЛЬНЫЙ 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СТАНДАРТ.Специалист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по присмотру и уходу за детьми дошкольного возраста. Приказ  Министерства труда и социальной защиты 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РоссийскойФедерации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от 5 декабря 2018 года N 769н</w:t>
        </w:r>
      </w:hyperlink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 </w:t>
      </w:r>
    </w:p>
    <w:p w:rsidR="00322D29" w:rsidRPr="00322D29" w:rsidRDefault="00322D29" w:rsidP="00322D29">
      <w:pPr>
        <w:spacing w:after="0" w:line="240" w:lineRule="auto"/>
        <w:ind w:right="-1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11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Принятые профессиональные стандарты педагогических работников в сфере общего образования</w:t>
        </w:r>
      </w:hyperlink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</w:p>
    <w:p w:rsidR="00322D29" w:rsidRPr="00322D29" w:rsidRDefault="00322D29" w:rsidP="00322D29">
      <w:pPr>
        <w:spacing w:after="0" w:line="192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12" w:tgtFrame="_blank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Принятые профессиональные стандарты непедагогических работников</w:t>
        </w:r>
      </w:hyperlink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</w:p>
    <w:p w:rsidR="00322D29" w:rsidRPr="00322D29" w:rsidRDefault="00322D29" w:rsidP="00322D29">
      <w:pPr>
        <w:spacing w:after="0" w:line="240" w:lineRule="auto"/>
        <w:ind w:right="-1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13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Приказ Минтруда РФ от 08.09.2015 N 610Н Об утверждении профессионального стандарта. Повар.</w:t>
        </w:r>
      </w:hyperlink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</w:p>
    <w:p w:rsidR="00322D29" w:rsidRPr="00322D29" w:rsidRDefault="00322D29" w:rsidP="00322D29">
      <w:pPr>
        <w:spacing w:after="0" w:line="192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14" w:anchor="friends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Приказ Министерства труда и социальной защиты РФ от 21 декабря 2015 г. N 1075н «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Обутверждении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профессионального стандарта 16.077 «Рабочий по комплексной 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уборкетерритории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, относящейся к общему имуществу в многоквартирном доме».Дворник.</w:t>
        </w:r>
      </w:hyperlink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</w:p>
    <w:p w:rsidR="00322D29" w:rsidRPr="00322D29" w:rsidRDefault="00322D29" w:rsidP="00322D29">
      <w:pPr>
        <w:spacing w:after="0" w:line="192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15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Профессиональный стандарт «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Специалистадминистративно-хозяйственной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деятельности», приказ Министерства труда 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исоциальной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защиты Российской Федерации от 2 февраля 2018 года N 49н. Завхоз.</w:t>
        </w:r>
      </w:hyperlink>
    </w:p>
    <w:p w:rsidR="00322D29" w:rsidRPr="00322D29" w:rsidRDefault="00322D29" w:rsidP="00322D29">
      <w:pPr>
        <w:spacing w:after="0" w:line="192" w:lineRule="atLeast"/>
        <w:ind w:left="1134" w:right="436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 </w:t>
      </w:r>
    </w:p>
    <w:p w:rsidR="00322D29" w:rsidRPr="00322D29" w:rsidRDefault="00322D29" w:rsidP="00322D29">
      <w:pPr>
        <w:spacing w:after="0" w:line="240" w:lineRule="auto"/>
        <w:ind w:left="440" w:hanging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hyperlink r:id="rId16" w:tgtFrame="_blank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Письмо  Министерства образования и науки Российской Федерации от 02.03.2015 г. №08-237 «О переносе срока применения 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профстандарта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педагога</w:t>
        </w:r>
      </w:hyperlink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</w:p>
    <w:p w:rsidR="00322D29" w:rsidRPr="00322D29" w:rsidRDefault="00322D29" w:rsidP="00322D29">
      <w:pPr>
        <w:spacing w:after="175" w:line="240" w:lineRule="auto"/>
        <w:ind w:left="440" w:hanging="36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hyperlink r:id="rId17" w:history="1"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Информация    Минтруда России по вопросам применения профессиональных </w:t>
        </w:r>
        <w:proofErr w:type="spellStart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стандартов.Информация</w:t>
        </w:r>
        <w:proofErr w:type="spellEnd"/>
        <w:r w:rsidRPr="00322D29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 xml:space="preserve"> от 5 апреля 2016г.</w:t>
        </w:r>
      </w:hyperlink>
    </w:p>
    <w:p w:rsidR="00322D29" w:rsidRPr="00322D29" w:rsidRDefault="00322D29" w:rsidP="00322D29">
      <w:pPr>
        <w:spacing w:after="175" w:line="209" w:lineRule="atLeast"/>
        <w:outlineLvl w:val="1"/>
        <w:rPr>
          <w:rFonts w:ascii="Arial" w:eastAsia="Times New Roman" w:hAnsi="Arial" w:cs="Arial"/>
          <w:color w:val="007AD0"/>
          <w:sz w:val="21"/>
          <w:szCs w:val="21"/>
          <w:lang w:eastAsia="ru-RU"/>
        </w:rPr>
      </w:pPr>
      <w:r w:rsidRPr="00322D29">
        <w:rPr>
          <w:rFonts w:ascii="Arial" w:eastAsia="Times New Roman" w:hAnsi="Arial" w:cs="Arial"/>
          <w:color w:val="007AD0"/>
          <w:sz w:val="21"/>
          <w:szCs w:val="21"/>
          <w:lang w:eastAsia="ru-RU"/>
        </w:rPr>
        <w:t>РЕЕСТР ПРОФСТАНДАРТОВ</w:t>
      </w:r>
    </w:p>
    <w:p w:rsidR="00322D29" w:rsidRPr="00322D29" w:rsidRDefault="00322D29" w:rsidP="00322D29">
      <w:pPr>
        <w:spacing w:after="87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01.10.2019</w:t>
      </w:r>
    </w:p>
    <w:p w:rsidR="00322D29" w:rsidRPr="00322D29" w:rsidRDefault="00322D29" w:rsidP="00322D29">
      <w:pPr>
        <w:spacing w:after="0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br/>
      </w:r>
    </w:p>
    <w:p w:rsidR="00322D29" w:rsidRPr="00322D29" w:rsidRDefault="00322D29" w:rsidP="00322D29">
      <w:pPr>
        <w:spacing w:after="0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Ре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естр про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фес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си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о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наль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ных стан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дар</w:t>
      </w:r>
      <w:r w:rsidRPr="00322D29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softHyphen/>
        <w:t>тов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– это их си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сте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ма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зи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ро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ван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ный пе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ре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чень по об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ла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стям и видам про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фес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наль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ной де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я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тель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сти. В Ре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естр вклю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ча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ют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ся утвер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жден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ные при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ка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за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ми Мин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у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 xml:space="preserve">да </w:t>
      </w:r>
      <w:proofErr w:type="spellStart"/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проф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стан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дар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ты</w:t>
      </w:r>
      <w:proofErr w:type="spellEnd"/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 xml:space="preserve"> в 10-дневный срок после их утвер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жде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ния Ми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ню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стом (</w:t>
      </w:r>
      <w:hyperlink r:id="rId18" w:tgtFrame="_blank" w:history="1"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t>п. 3 При</w:t>
        </w:r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softHyphen/>
          <w:t>ка</w:t>
        </w:r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softHyphen/>
          <w:t>за Мин</w:t>
        </w:r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softHyphen/>
          <w:t>тр</w:t>
        </w:r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softHyphen/>
          <w:t>у</w:t>
        </w:r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softHyphen/>
          <w:t>да от 29.09.2014 № 667н</w:t>
        </w:r>
      </w:hyperlink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).</w:t>
      </w:r>
    </w:p>
    <w:p w:rsidR="00322D29" w:rsidRPr="00322D29" w:rsidRDefault="00322D29" w:rsidP="00322D29">
      <w:pPr>
        <w:spacing w:after="384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Пол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ный пе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ре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чень утвер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жден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ных про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фес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наль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ных стан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дар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тов (ре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естр), по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пол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ня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мый по мере их при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ня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тия, можно найти:</w:t>
      </w:r>
    </w:p>
    <w:p w:rsidR="00322D29" w:rsidRPr="00322D29" w:rsidRDefault="00322D29" w:rsidP="00322D29">
      <w:pPr>
        <w:spacing w:after="0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– на сайте Мин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у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да Рос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сии: </w:t>
      </w:r>
      <w:hyperlink r:id="rId19" w:tgtFrame="_blank" w:history="1"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t>http://​profstandart.​rosmintrud.​ru/​</w:t>
        </w:r>
      </w:hyperlink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;</w:t>
      </w:r>
    </w:p>
    <w:p w:rsidR="00322D29" w:rsidRPr="00322D29" w:rsidRDefault="00322D29" w:rsidP="00322D29">
      <w:pPr>
        <w:spacing w:after="0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–  на сайте На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уч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но-ме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ди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че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ско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го цен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тра си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сте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мы про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фес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наль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ных ква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ли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фи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ка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ций ФГБУ «НИИ ТСС» Мин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у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да Рос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сии: </w:t>
      </w:r>
      <w:hyperlink r:id="rId20" w:tgtFrame="_blank" w:history="1">
        <w:r w:rsidRPr="00322D29">
          <w:rPr>
            <w:rFonts w:ascii="Tahoma" w:eastAsia="Times New Roman" w:hAnsi="Tahoma" w:cs="Tahoma"/>
            <w:b/>
            <w:bCs/>
            <w:color w:val="007AD0"/>
            <w:sz w:val="12"/>
            <w:u w:val="single"/>
            <w:lang w:eastAsia="ru-RU"/>
          </w:rPr>
          <w:t>http://​vet-bc.​ru/​</w:t>
        </w:r>
      </w:hyperlink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.</w:t>
      </w:r>
    </w:p>
    <w:p w:rsidR="00322D29" w:rsidRPr="00322D29" w:rsidRDefault="00322D29" w:rsidP="00322D29">
      <w:pPr>
        <w:spacing w:after="384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Кроме того, любой при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каз об утвер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жде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нии про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фес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си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наль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но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го стан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дар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та можно найти в СПС «Кон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суль</w:t>
      </w: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softHyphen/>
        <w:t>тант +».</w:t>
      </w:r>
    </w:p>
    <w:p w:rsidR="00322D29" w:rsidRPr="00322D29" w:rsidRDefault="00322D29" w:rsidP="00322D29">
      <w:pPr>
        <w:spacing w:after="384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В соответствии с принятым в мае 2015 г. Федеральным законом №122, начиная с 2016 года, в России для целого ряда профессий и специальностей вводятся «профессиональные стандарты». Обязательное применение профессионального стандарта педагога предусматривается с 1 января 2017 года.</w:t>
      </w:r>
    </w:p>
    <w:p w:rsidR="00322D29" w:rsidRPr="00322D29" w:rsidRDefault="00322D29" w:rsidP="00322D29">
      <w:pPr>
        <w:spacing w:after="384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Впервые в российском образовании разработано содержание профессионального стандарта педагога. Профессиональный стандарт призван повысить мотивацию педагогических работников к труду и качеству образования.</w:t>
      </w:r>
    </w:p>
    <w:p w:rsidR="00322D29" w:rsidRPr="00322D29" w:rsidRDefault="00322D29" w:rsidP="00322D29">
      <w:pPr>
        <w:spacing w:after="384" w:line="192" w:lineRule="atLeast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322D29" w:rsidRPr="00322D29" w:rsidRDefault="00322D29" w:rsidP="00322D29">
      <w:pPr>
        <w:spacing w:after="175" w:line="192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322D29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lastRenderedPageBreak/>
        <w:t> </w:t>
      </w:r>
    </w:p>
    <w:p w:rsidR="00322D29" w:rsidRDefault="00322D29"/>
    <w:sectPr w:rsidR="00322D29" w:rsidSect="000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322D29"/>
    <w:rsid w:val="000E70D8"/>
    <w:rsid w:val="0032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D8"/>
  </w:style>
  <w:style w:type="paragraph" w:styleId="1">
    <w:name w:val="heading 1"/>
    <w:basedOn w:val="a"/>
    <w:link w:val="10"/>
    <w:uiPriority w:val="9"/>
    <w:qFormat/>
    <w:rsid w:val="00322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2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22D29"/>
    <w:rPr>
      <w:b/>
      <w:bCs/>
    </w:rPr>
  </w:style>
  <w:style w:type="character" w:customStyle="1" w:styleId="link-wrapper-container">
    <w:name w:val="link-wrapper-container"/>
    <w:basedOn w:val="a0"/>
    <w:rsid w:val="00322D29"/>
  </w:style>
  <w:style w:type="character" w:styleId="a4">
    <w:name w:val="Hyperlink"/>
    <w:basedOn w:val="a0"/>
    <w:uiPriority w:val="99"/>
    <w:semiHidden/>
    <w:unhideWhenUsed/>
    <w:rsid w:val="00322D29"/>
    <w:rPr>
      <w:color w:val="0000FF"/>
      <w:u w:val="single"/>
    </w:rPr>
  </w:style>
  <w:style w:type="character" w:styleId="a5">
    <w:name w:val="Emphasis"/>
    <w:basedOn w:val="a0"/>
    <w:uiPriority w:val="20"/>
    <w:qFormat/>
    <w:rsid w:val="00322D29"/>
    <w:rPr>
      <w:i/>
      <w:iCs/>
    </w:rPr>
  </w:style>
  <w:style w:type="paragraph" w:styleId="a6">
    <w:name w:val="Normal (Web)"/>
    <w:basedOn w:val="a"/>
    <w:uiPriority w:val="99"/>
    <w:semiHidden/>
    <w:unhideWhenUsed/>
    <w:rsid w:val="0032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32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322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525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857">
          <w:marLeft w:val="0"/>
          <w:marRight w:val="0"/>
          <w:marTop w:val="87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8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6094">
                  <w:marLeft w:val="0"/>
                  <w:marRight w:val="0"/>
                  <w:marTop w:val="0"/>
                  <w:marBottom w:val="175"/>
                  <w:divBdr>
                    <w:top w:val="none" w:sz="0" w:space="0" w:color="auto"/>
                    <w:left w:val="none" w:sz="0" w:space="0" w:color="auto"/>
                    <w:bottom w:val="single" w:sz="4" w:space="9" w:color="CDD8E3"/>
                    <w:right w:val="none" w:sz="0" w:space="0" w:color="auto"/>
                  </w:divBdr>
                  <w:divsChild>
                    <w:div w:id="91739800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428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39455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235738">
                  <w:marLeft w:val="0"/>
                  <w:marRight w:val="0"/>
                  <w:marTop w:val="0"/>
                  <w:marBottom w:val="175"/>
                  <w:divBdr>
                    <w:top w:val="none" w:sz="0" w:space="0" w:color="auto"/>
                    <w:left w:val="none" w:sz="0" w:space="0" w:color="auto"/>
                    <w:bottom w:val="single" w:sz="4" w:space="9" w:color="CDD8E3"/>
                    <w:right w:val="none" w:sz="0" w:space="0" w:color="auto"/>
                  </w:divBdr>
                  <w:divsChild>
                    <w:div w:id="82007319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6061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1409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772138153/?page=1&amp;*=UlVSR2Q3wC6nkkgPNXHW2c%2F5h2Z7InVybCI6InlhLWJyb3dzZXI6Ly80RFQxdVhFUFJySlJYbFVGb2V3cnVMSjVxMlE5UTd4UVF0ZUE2SXdNUEp6QVhpVmNrS2VUZzBjaWFCQmxKRHJTLW5aTUxabjUybzZKUGNMVmduSmxNYmVmelZ6T1oybzFiSzJpQlNxRTh2RTFuWkZOV0VkSXJ4NjlneGNBOVVaOEVJTWdXWGhyYXk5RFJreHJBcUFEOFE9PT9zaWduPWVwMFNEemUzTnJ6ZFYzbTZEa3VYMFZDMW5malJUUG5GRUVaR00ydnhyRDg9IiwidGl0bGUiOiLQv9GA0L7RhNC10YHRgdC40L7QvdCw0LvRjNC90YvQuSDRgdGC0LDQvdC00LDRgNGCINC%2F0LXQtNCw0LPQvtCz0LAuZG9jeCIsIm5vaWZyYW1lIjpmYWxzZSwidWlkIjoiNzcyMTM4MTUzIiwidHMiOjE1OTEzNzQzOTQxNjUsInl1IjoiOTgyNDc3NjIxNTczMzkxNzI3In0%3D" TargetMode="External"/><Relationship Id="rId13" Type="http://schemas.openxmlformats.org/officeDocument/2006/relationships/hyperlink" Target="http://kcso18.eps74.ru/Upload/files/%D1%81%D1%82%D0%B0%D0%BD%D0%B4%D0%B0%D1%80%D1%82%20%D0%BF%D0%BE%D0%B2%D0%B0%D1%80.pdf" TargetMode="External"/><Relationship Id="rId18" Type="http://schemas.openxmlformats.org/officeDocument/2006/relationships/hyperlink" Target="http://base.consultant.ru/cons/cgi/online.cgi?req=doc&amp;base=LAW&amp;n=171414&amp;div=LAW&amp;dst=100009%2C0&amp;rnd=210680.812958753444797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12" Type="http://schemas.openxmlformats.org/officeDocument/2006/relationships/hyperlink" Target="https://r1.nubex.ru/s5106-2dc/f2565_b1/%D0%BF%D1%80%D0%BE%D1%84%D0%B5%D1%81%D1%81%D0%B8%D0%BE%D0%BD%D0%B0%D0%BB%D1%8C%D0%BD%D1%8B%D0%B5%20%D1%81%D1%82%D0%B0%D0%BD%D0%B4%D0%B0%D1%80%D1%82%D1%8B%20%D0%BD%D0%B5%D0%BF%D0%B5%D0%B4%D0%B0%D0%B3%D0%BE%D0%B3%D0%B8%D1%87%D0%B5%D1%81%D0%BA%D0%B8%D1%85%20%D1%80%D0%B0%D0%B1%D0%BE%D1%82%D0%BD%D0%B8%D0%BA%D0%BE%D0%B2.docx" TargetMode="External"/><Relationship Id="rId17" Type="http://schemas.openxmlformats.org/officeDocument/2006/relationships/hyperlink" Target="https://docs.google.com/document/d/12wjFUfpBDlwJFIUBNqzQDKUbhkPBrappipIju9-iK6U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viewer.yandex.ru/view/772138153/?page=1&amp;*=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%3D%3D" TargetMode="External"/><Relationship Id="rId20" Type="http://schemas.openxmlformats.org/officeDocument/2006/relationships/hyperlink" Target="http://vet-bc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11" Type="http://schemas.openxmlformats.org/officeDocument/2006/relationships/hyperlink" Target="https://docviewer.yandex.ru/view/772138153/?*=Jqa%2FkPP%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%2FRgNC40L3Rj9GC0YvQtS3Qv9GA0L7RhNC10YHRgdC40L7QvdCw0LvRjNC90YvQtS3RgdGC0LDQvdC00LDRgNGC0Yst0L%2FQtdC00LDQs9C%2B0LPQuNGH0LXRgdC60LjRhS3RgNCw0LHQvtGC0L3QuNC60L7Qsi3Qsi3RgdGE0LXRgNC1LdC%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" TargetMode="External"/><Relationship Id="rId5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15" Type="http://schemas.openxmlformats.org/officeDocument/2006/relationships/hyperlink" Target="https://base.garant.ru/71921678/" TargetMode="External"/><Relationship Id="rId10" Type="http://schemas.openxmlformats.org/officeDocument/2006/relationships/hyperlink" Target="https://www.garant.ru/products/ipo/prime/doc/72038314/" TargetMode="External"/><Relationship Id="rId19" Type="http://schemas.openxmlformats.org/officeDocument/2006/relationships/hyperlink" Target="http://profstandart.rosmintrud.ru/" TargetMode="External"/><Relationship Id="rId4" Type="http://schemas.openxmlformats.org/officeDocument/2006/relationships/hyperlink" Target="https://docviewer.yandex.ru/view/772138153/?page=1&amp;*=WDMtmu4JpDFcXrSIuB%2Bih%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&amp;lang=ru" TargetMode="External"/><Relationship Id="rId9" Type="http://schemas.openxmlformats.org/officeDocument/2006/relationships/hyperlink" Target="https://docviewer.yandex.ru/view/772138153/?page=1&amp;*=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&amp;lang=ru" TargetMode="External"/><Relationship Id="rId14" Type="http://schemas.openxmlformats.org/officeDocument/2006/relationships/hyperlink" Target="https://base.garant.ru/7131519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4297</Words>
  <Characters>24494</Characters>
  <Application>Microsoft Office Word</Application>
  <DocSecurity>0</DocSecurity>
  <Lines>204</Lines>
  <Paragraphs>57</Paragraphs>
  <ScaleCrop>false</ScaleCrop>
  <Company/>
  <LinksUpToDate>false</LinksUpToDate>
  <CharactersWithSpaces>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2022-11-23T12:42:00Z</dcterms:created>
  <dcterms:modified xsi:type="dcterms:W3CDTF">2022-11-23T12:44:00Z</dcterms:modified>
</cp:coreProperties>
</file>